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DATE OF REPORT (Date of earliest event reported): July 13, 2026 </w:t>
      </w:r>
    </w:p>
    <w:p>
      <w:pPr>
        <w:pStyle w:val="TextBody"/>
        <w:bidi w:val="0"/>
        <w:spacing w:before="0" w:after="0"/>
        <w:jc w:val="center"/>
        <w:rPr/>
      </w:pPr>
      <w:r>
        <w:rPr/>
      </w:r>
    </w:p>
    <w:p>
      <w:pPr>
        <w:pStyle w:val="TextBody"/>
        <w:bidi w:val="0"/>
        <w:spacing w:lineRule="auto" w:line="288" w:before="160" w:after="283"/>
        <w:jc w:val="center"/>
        <w:rPr>
          <w:rFonts w:ascii="Arial;sans-serif" w:hAnsi="Arial;sans-serif"/>
          <w:b/>
          <w:color w:val="000000"/>
          <w:sz w:val="36"/>
        </w:rPr>
      </w:pPr>
      <w:r>
        <w:rPr>
          <w:rFonts w:ascii="Arial;sans-serif" w:hAnsi="Arial;sans-serif"/>
          <w:b/>
          <w:color w:val="000000"/>
          <w:sz w:val="36"/>
        </w:rPr>
        <w:t>FIRST MERCHANTS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445" w:type="dxa"/>
        <w:jc w:val="center"/>
        <w:tblInd w:w="0" w:type="dxa"/>
        <w:tblLayout w:type="fixed"/>
        <w:tblCellMar>
          <w:top w:w="28" w:type="dxa"/>
          <w:left w:w="28" w:type="dxa"/>
          <w:bottom w:w="28" w:type="dxa"/>
          <w:right w:w="28" w:type="dxa"/>
        </w:tblCellMar>
      </w:tblPr>
      <w:tblGrid>
        <w:gridCol w:w="884"/>
        <w:gridCol w:w="773"/>
        <w:gridCol w:w="773"/>
        <w:gridCol w:w="870"/>
        <w:gridCol w:w="870"/>
        <w:gridCol w:w="1275"/>
      </w:tblGrid>
      <w:tr>
        <w:trPr/>
        <w:tc>
          <w:tcPr>
            <w:tcW w:w="88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544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Indiana</w:t>
            </w:r>
          </w:p>
        </w:tc>
      </w:tr>
      <w:tr>
        <w:trPr/>
        <w:tc>
          <w:tcPr>
            <w:tcW w:w="5445" w:type="dxa"/>
            <w:gridSpan w:val="6"/>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r>
      <w:tr>
        <w:trPr/>
        <w:tc>
          <w:tcPr>
            <w:tcW w:w="2430"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001-41342</w:t>
            </w:r>
          </w:p>
        </w:tc>
        <w:tc>
          <w:tcPr>
            <w:tcW w:w="3015" w:type="dxa"/>
            <w:gridSpan w:val="3"/>
            <w:tcBorders>
              <w:top w:val="single" w:sz="8" w:space="0" w:color="000000"/>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35-1544218</w:t>
            </w:r>
          </w:p>
        </w:tc>
      </w:tr>
      <w:tr>
        <w:trPr/>
        <w:tc>
          <w:tcPr>
            <w:tcW w:w="2430"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015"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200 East Jackson Street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P.O. Box 792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Muncie, IN 47305-2814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 including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(765) 747-1500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2433"/>
        <w:gridCol w:w="2052"/>
        <w:gridCol w:w="2078"/>
        <w:gridCol w:w="369"/>
        <w:gridCol w:w="369"/>
        <w:gridCol w:w="370"/>
        <w:gridCol w:w="739"/>
        <w:gridCol w:w="739"/>
        <w:gridCol w:w="1056"/>
      </w:tblGrid>
      <w:tr>
        <w:trPr/>
        <w:tc>
          <w:tcPr>
            <w:tcW w:w="2433"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Title of Each Class</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Trading Symbol(s)</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Name of each exchange on which registered</w:t>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 $0.125 stated value per share</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r>
        <w:trPr/>
        <w:tc>
          <w:tcPr>
            <w:tcW w:w="65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Depositary Shares, each representing a 1/100th interest in a share of Non-Cumulative Perpetual Preferred Stock, Series A</w:t>
            </w:r>
          </w:p>
        </w:tc>
        <w:tc>
          <w:tcPr>
            <w:tcW w:w="11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FRMEP</w:t>
            </w:r>
          </w:p>
        </w:tc>
        <w:tc>
          <w:tcPr>
            <w:tcW w:w="25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000000"/>
          <w:sz w:val="19"/>
        </w:rPr>
        <w:t>Written communications pursuant to Rule 425 under the Securities Act (17 CFR 230.425)</w:t>
      </w:r>
    </w:p>
    <w:p>
      <w:pPr>
        <w:pStyle w:val="TextBody"/>
        <w:bidi w:val="0"/>
        <w:spacing w:lineRule="auto" w:line="288" w:before="240" w:after="283"/>
        <w:jc w:val="left"/>
        <w:rPr/>
      </w:pPr>
      <w:r>
        <w:rPr>
          <w:color w:val="000000"/>
        </w:rPr>
        <w:t xml:space="preserve">☐ </w:t>
      </w:r>
      <w:r>
        <w:rPr>
          <w:rFonts w:ascii="Arial;sans-serif" w:hAnsi="Arial;sans-serif"/>
          <w:b w:val="false"/>
          <w:color w:val="000000"/>
          <w:sz w:val="19"/>
        </w:rPr>
        <w:t>Soliciting material pursuant to Rule 14a-12 under the Exchange Act (17 CFR 240.14a-12)</w:t>
      </w:r>
    </w:p>
    <w:p>
      <w:pPr>
        <w:pStyle w:val="TextBody"/>
        <w:bidi w:val="0"/>
        <w:spacing w:lineRule="auto" w:line="288" w:before="240" w:after="283"/>
        <w:ind w:left="0" w:right="0" w:hanging="720"/>
        <w:jc w:val="left"/>
        <w:rPr/>
      </w:pPr>
      <w:r>
        <w:rPr>
          <w:color w:val="000000"/>
        </w:rPr>
        <w:t xml:space="preserve">☐ </w:t>
      </w:r>
      <w:r>
        <w:rPr>
          <w:rFonts w:ascii="Arial;sans-serif" w:hAnsi="Arial;sans-serif"/>
          <w:b w:val="false"/>
          <w:color w:val="000000"/>
          <w:sz w:val="19"/>
        </w:rPr>
        <w:t>Pre-commencement communications pursuant to Rule 14d-2(b) under the Exchange Act (17 CFR 240.14d-2(b))</w:t>
      </w:r>
    </w:p>
    <w:p>
      <w:pPr>
        <w:pStyle w:val="TextBody"/>
        <w:bidi w:val="0"/>
        <w:spacing w:lineRule="auto" w:line="288" w:before="240" w:after="283"/>
        <w:ind w:left="0" w:right="0" w:hanging="720"/>
        <w:jc w:val="left"/>
        <w:rPr/>
      </w:pPr>
      <w:r>
        <w:rPr>
          <w:color w:val="000000"/>
        </w:rPr>
        <w:t xml:space="preserve">☐ </w:t>
      </w:r>
      <w:r>
        <w:rPr>
          <w:rFonts w:ascii="Arial;sans-serif" w:hAnsi="Arial;sans-serif"/>
          <w:b w:val="false"/>
          <w:color w:val="000000"/>
          <w:sz w:val="19"/>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before="0" w:after="0"/>
        <w:jc w:val="both"/>
        <w:rPr/>
      </w:pPr>
      <w:r>
        <w:rPr/>
      </w:r>
    </w:p>
    <w:p>
      <w:pPr>
        <w:pStyle w:val="TextBody"/>
        <w:bidi w:val="0"/>
        <w:spacing w:lineRule="auto" w:line="288" w:before="0" w:after="0"/>
        <w:ind w:left="0" w:right="0" w:firstLine="315"/>
        <w:jc w:val="both"/>
        <w:rPr>
          <w:rFonts w:ascii="Arial;sans-serif" w:hAnsi="Arial;sans-serif"/>
          <w:b w:val="false"/>
          <w:color w:val="000000"/>
          <w:sz w:val="20"/>
        </w:rPr>
      </w:pPr>
      <w:r>
        <w:rPr>
          <w:rFonts w:ascii="Arial;sans-serif" w:hAnsi="Arial;sans-serif"/>
          <w:b w:val="false"/>
          <w:color w:val="000000"/>
          <w:sz w:val="20"/>
        </w:rPr>
        <w:t>On July 13, 2026, First Merchants Corporation issued a press release announcing its Board of Directors has declared a quarterly cash dividend on its 7.50% Non-Cumulative Perpetual Preferred Stock Series A, of $46.88 per share (equivalent to $0.4688 per depositary share) payable on August 14, 2026, to stockholders of record on July 30, 2026. A copy of the press release is furnished as Exhibit 99.1 to this Current Report on Form 8-K.</w:t>
      </w:r>
    </w:p>
    <w:p>
      <w:pPr>
        <w:pStyle w:val="TextBody"/>
        <w:bidi w:val="0"/>
        <w:spacing w:before="0" w:after="0"/>
        <w:jc w:val="left"/>
        <w:rPr/>
      </w:pPr>
      <w:r>
        <w:rPr/>
      </w:r>
    </w:p>
    <w:p>
      <w:pPr>
        <w:pStyle w:val="TextBody"/>
        <w:bidi w:val="0"/>
        <w:spacing w:lineRule="auto" w:line="288" w:before="0" w:after="0"/>
        <w:ind w:left="0" w:right="0" w:firstLine="315"/>
        <w:jc w:val="both"/>
        <w:rPr>
          <w:rFonts w:ascii="Arial;sans-serif" w:hAnsi="Arial;sans-serif"/>
          <w:b w:val="false"/>
          <w:color w:val="000000"/>
          <w:sz w:val="20"/>
        </w:rPr>
      </w:pPr>
      <w:r>
        <w:rPr>
          <w:rFonts w:ascii="Arial;sans-serif" w:hAnsi="Arial;sans-serif"/>
          <w:b w:val="false"/>
          <w:color w:val="000000"/>
          <w:sz w:val="20"/>
        </w:rPr>
        <w:t>The information in this Form 8-K and the attached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p>
      <w:pPr>
        <w:pStyle w:val="TextBody"/>
        <w:bidi w:val="0"/>
        <w:spacing w:before="0" w:after="0"/>
        <w:jc w:val="left"/>
        <w:rPr/>
      </w:pPr>
      <w:r>
        <w:rPr/>
      </w:r>
    </w:p>
    <w:tbl>
      <w:tblPr>
        <w:tblW w:w="8115" w:type="dxa"/>
        <w:jc w:val="center"/>
        <w:tblInd w:w="0" w:type="dxa"/>
        <w:tblLayout w:type="fixed"/>
        <w:tblCellMar>
          <w:top w:w="28" w:type="dxa"/>
          <w:left w:w="28" w:type="dxa"/>
          <w:bottom w:w="28" w:type="dxa"/>
          <w:right w:w="28" w:type="dxa"/>
        </w:tblCellMar>
      </w:tblPr>
      <w:tblGrid>
        <w:gridCol w:w="418"/>
        <w:gridCol w:w="367"/>
        <w:gridCol w:w="370"/>
        <w:gridCol w:w="2034"/>
        <w:gridCol w:w="2034"/>
        <w:gridCol w:w="2892"/>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99.1</w:t>
            </w:r>
          </w:p>
        </w:tc>
        <w:tc>
          <w:tcPr>
            <w:tcW w:w="69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0"/>
              <w:jc w:val="left"/>
              <w:rPr/>
            </w:pPr>
            <w:hyperlink w:anchor="pressrelease-3rdqtr2026div.htm">
              <w:r>
                <w:rPr>
                  <w:rStyle w:val="InternetLink"/>
                  <w:rFonts w:ascii="Arial;sans-serif" w:hAnsi="Arial;sans-serif"/>
                  <w:b w:val="false"/>
                  <w:color w:val="000080"/>
                  <w:sz w:val="20"/>
                  <w:u w:val="single"/>
                </w:rPr>
                <w:t>Press Release dated July 1</w:t>
              </w:r>
            </w:hyperlink>
            <w:hyperlink w:anchor="pressrelease-3rdqtr2026div.htm">
              <w:r>
                <w:rPr>
                  <w:rStyle w:val="InternetLink"/>
                  <w:rFonts w:ascii="Arial;sans-serif" w:hAnsi="Arial;sans-serif"/>
                  <w:b w:val="false"/>
                  <w:color w:val="000080"/>
                  <w:sz w:val="20"/>
                  <w:u w:val="single"/>
                </w:rPr>
                <w:t>3</w:t>
              </w:r>
            </w:hyperlink>
            <w:hyperlink w:anchor="pressrelease-3rdqtr2026div.htm">
              <w:r>
                <w:rPr>
                  <w:rStyle w:val="InternetLink"/>
                  <w:rFonts w:ascii="Arial;sans-serif" w:hAnsi="Arial;sans-serif"/>
                  <w:b w:val="false"/>
                  <w:color w:val="000080"/>
                  <w:sz w:val="20"/>
                  <w:u w:val="single"/>
                </w:rPr>
                <w:t>, 2026 issued by First Merchants Corporation</w:t>
              </w:r>
            </w:hyperlink>
            <w:r>
              <w:rPr>
                <w:rFonts w:ascii="Arial;sans-serif" w:hAnsi="Arial;sans-serif"/>
                <w:b w:val="false"/>
                <w:color w:val="000000"/>
                <w:sz w:val="20"/>
              </w:rPr>
              <w:t>.</w:t>
            </w:r>
          </w:p>
        </w:tc>
      </w:tr>
      <w:tr>
        <w:trPr/>
        <w:tc>
          <w:tcPr>
            <w:tcW w:w="11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104</w:t>
            </w:r>
          </w:p>
        </w:tc>
        <w:tc>
          <w:tcPr>
            <w:tcW w:w="69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6984" w:type="dxa"/>
        <w:jc w:val="left"/>
        <w:tblInd w:w="0" w:type="dxa"/>
        <w:tblLayout w:type="fixed"/>
        <w:tblCellMar>
          <w:top w:w="28" w:type="dxa"/>
          <w:left w:w="28" w:type="dxa"/>
          <w:bottom w:w="28" w:type="dxa"/>
          <w:right w:w="28" w:type="dxa"/>
        </w:tblCellMar>
      </w:tblPr>
      <w:tblGrid>
        <w:gridCol w:w="695"/>
        <w:gridCol w:w="611"/>
        <w:gridCol w:w="614"/>
        <w:gridCol w:w="109"/>
        <w:gridCol w:w="109"/>
        <w:gridCol w:w="109"/>
        <w:gridCol w:w="109"/>
        <w:gridCol w:w="109"/>
        <w:gridCol w:w="109"/>
        <w:gridCol w:w="1291"/>
        <w:gridCol w:w="1291"/>
        <w:gridCol w:w="1828"/>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Merchants Corporation</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Michele M. Kawiecki</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Michele M. Kawiecki</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Executive Vice President, Chief Financial Officer</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July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N / E / W / S R / E / L / E / A / S / E</w:t>
      </w:r>
    </w:p>
    <w:p>
      <w:pPr>
        <w:pStyle w:val="TextBody"/>
        <w:bidi w:val="0"/>
        <w:spacing w:before="38" w:after="283"/>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July 13, 2026</w:t>
      </w:r>
    </w:p>
    <w:p>
      <w:pPr>
        <w:pStyle w:val="TextBody"/>
        <w:bidi w:val="0"/>
        <w:spacing w:before="46" w:after="283"/>
        <w:jc w:val="left"/>
        <w:rPr/>
      </w:pPr>
      <w:r>
        <w:rPr/>
      </w:r>
    </w:p>
    <w:p>
      <w:pPr>
        <w:pStyle w:val="TextBody"/>
        <w:bidi w:val="0"/>
        <w:spacing w:lineRule="auto" w:line="288" w:before="46" w:after="283"/>
        <w:jc w:val="left"/>
        <w:rPr>
          <w:rFonts w:ascii="Arial;sans-serif" w:hAnsi="Arial;sans-serif"/>
          <w:b/>
          <w:color w:val="000000"/>
          <w:sz w:val="22"/>
        </w:rPr>
      </w:pPr>
      <w:r>
        <w:rPr>
          <w:rFonts w:ascii="Arial;sans-serif" w:hAnsi="Arial;sans-serif"/>
          <w:b/>
          <w:color w:val="000000"/>
          <w:sz w:val="22"/>
        </w:rPr>
        <w:t>FOR IMMEDIATE RELEASE</w:t>
      </w:r>
    </w:p>
    <w:p>
      <w:pPr>
        <w:pStyle w:val="TextBody"/>
        <w:bidi w:val="0"/>
        <w:spacing w:lineRule="auto" w:line="288" w:before="23" w:after="283"/>
        <w:jc w:val="left"/>
        <w:rPr>
          <w:rFonts w:ascii="Arial;sans-serif" w:hAnsi="Arial;sans-serif"/>
          <w:b w:val="false"/>
          <w:color w:val="000000"/>
          <w:sz w:val="22"/>
        </w:rPr>
      </w:pPr>
      <w:r>
        <w:rPr>
          <w:rFonts w:ascii="Arial;sans-serif" w:hAnsi="Arial;sans-serif"/>
          <w:b w:val="false"/>
          <w:color w:val="000000"/>
          <w:sz w:val="22"/>
        </w:rPr>
        <w:t>For more information, contact: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Nicole M. Weaver, First Vice President and Director of Corporate Administration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765-521-7619</w:t>
      </w:r>
    </w:p>
    <w:p>
      <w:pPr>
        <w:pStyle w:val="TextBody"/>
        <w:bidi w:val="0"/>
        <w:spacing w:lineRule="auto" w:line="288" w:before="6" w:after="283"/>
        <w:jc w:val="left"/>
        <w:rPr>
          <w:rFonts w:ascii="Arial;sans-serif" w:hAnsi="Arial;sans-serif"/>
          <w:b w:val="false"/>
          <w:color w:val="0000FF"/>
          <w:sz w:val="24"/>
          <w:u w:val="single"/>
        </w:rPr>
      </w:pPr>
      <w:r>
        <w:rPr>
          <w:rFonts w:ascii="Arial;sans-serif" w:hAnsi="Arial;sans-serif"/>
          <w:b w:val="false"/>
          <w:color w:val="0000FF"/>
          <w:sz w:val="24"/>
          <w:u w:val="single"/>
        </w:rPr>
        <w:t>http://www.firstmerchants.com</w:t>
      </w:r>
    </w:p>
    <w:p>
      <w:pPr>
        <w:pStyle w:val="TextBody"/>
        <w:bidi w:val="0"/>
        <w:spacing w:before="0" w:after="0"/>
        <w:jc w:val="left"/>
        <w:rPr/>
      </w:pPr>
      <w:r>
        <w:rPr/>
      </w:r>
    </w:p>
    <w:p>
      <w:pPr>
        <w:pStyle w:val="TextBody"/>
        <w:bidi w:val="0"/>
        <w:spacing w:lineRule="auto" w:line="288" w:before="53" w:after="283"/>
        <w:jc w:val="left"/>
        <w:rPr>
          <w:rFonts w:ascii="Arial;sans-serif" w:hAnsi="Arial;sans-serif"/>
          <w:b w:val="false"/>
          <w:color w:val="000000"/>
          <w:sz w:val="22"/>
        </w:rPr>
      </w:pPr>
      <w:r>
        <w:rPr>
          <w:rFonts w:ascii="Arial;sans-serif" w:hAnsi="Arial;sans-serif"/>
          <w:b w:val="false"/>
          <w:color w:val="000000"/>
          <w:sz w:val="22"/>
        </w:rPr>
        <w:t>SOURCE: First Merchants Corporation (NASDAQ: FRME), Muncie, Indiana</w:t>
      </w:r>
    </w:p>
    <w:p>
      <w:pPr>
        <w:pStyle w:val="TextBody"/>
        <w:bidi w:val="0"/>
        <w:spacing w:before="51"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FIRST MERCHANTS CORPORATION ANNOUNCES CASH DIVIDEND ON ITS PREFERRED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First Merchants Corporation has declared a quarterly cash dividend of $46.88 per share on its 7.50% Non-Cumulative Perpetual Preferred Stock Series A, represented by depositary shares (NASDAQ: FRMEP) each representing a 1/100th interest in a share of the Series A preferred stock. Holders of depositary shares will receive $0.4688 per depositary share. The dividend will be payable on August 14, 2026, to stockholders of record on July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About First Merchants Corporation: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First Merchants Corporation is a financial holding company headquartered in Muncie, Indiana. The Corporation has one full-service bank charter, First Merchants Bank. The Bank also operates as First Merchants Private Wealth Advisors (as a division of First Merchants Bank).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First Merchants Corporation’s common stock is traded on the NASDAQ Global Select Market System under the symbol FRME. Depositary shares representing a 1/100th interest in a share of First Merchants Corporation’s 7.50% Non-Cumulative Perpetual Preferred Stock, Series A are traded on the NASDAQ Global Select Market System under the symbol FRMEP. Quotations are carried in daily newspapers and can be found on the company’s Internet web page (http://www.firstmerchants.com).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FIRST MERCHANTS and the Shield Logo are federally registered trademarks of First Merchants Corporation.</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817</Words>
  <Characters>4479</Characters>
  <CharactersWithSpaces>5261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