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8-K</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CURRENT REPORT</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PURSUANT TO SECTION 13 OR 15(d) OF THE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SECURITIES EXCHANGE ACT OF 1934</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DATE OF REPORT (Date of earliest event reported): June 24, 2026</w:t>
      </w:r>
    </w:p>
    <w:p>
      <w:pPr>
        <w:spacing w:after="0" w:line="37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FIRST MERCHANTS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26035</wp:posOffset>
            </wp:positionV>
            <wp:extent cx="5634990" cy="340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34990" cy="34036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Indiana</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w:t>
      </w:r>
    </w:p>
    <w:p>
      <w:pPr>
        <w:spacing w:after="0" w:line="49" w:lineRule="exact"/>
        <w:rPr>
          <w:sz w:val="24"/>
          <w:szCs w:val="24"/>
          <w:color w:val="auto"/>
        </w:rPr>
      </w:pPr>
    </w:p>
    <w:tbl>
      <w:tblPr>
        <w:tblLayout w:type="fixed"/>
        <w:tblInd w:w="1210" w:type="dxa"/>
        <w:tblCellMar>
          <w:top w:w="0" w:type="dxa"/>
          <w:left w:w="0" w:type="dxa"/>
          <w:bottom w:w="0" w:type="dxa"/>
          <w:right w:w="0" w:type="dxa"/>
        </w:tblCellMar>
      </w:tblPr>
      <w:tr>
        <w:trPr>
          <w:trHeight w:val="261"/>
        </w:trPr>
        <w:tc>
          <w:tcPr>
            <w:tcW w:w="4440" w:type="dxa"/>
            <w:vAlign w:val="bottom"/>
            <w:tcBorders>
              <w:top w:val="single" w:sz="8" w:color="auto"/>
              <w:left w:val="single" w:sz="8" w:color="00000A"/>
              <w:bottom w:val="single" w:sz="8" w:color="00000A"/>
              <w:right w:val="single" w:sz="8" w:color="00000A"/>
            </w:tcBorders>
          </w:tcPr>
          <w:p>
            <w:pPr>
              <w:jc w:val="right"/>
              <w:ind w:right="1669"/>
              <w:spacing w:after="0"/>
              <w:rPr>
                <w:sz w:val="20"/>
                <w:szCs w:val="20"/>
                <w:color w:val="auto"/>
              </w:rPr>
            </w:pPr>
            <w:r>
              <w:rPr>
                <w:rFonts w:ascii="Arial" w:cs="Arial" w:eastAsia="Arial" w:hAnsi="Arial"/>
                <w:sz w:val="19"/>
                <w:szCs w:val="19"/>
                <w:color w:val="auto"/>
              </w:rPr>
              <w:t>001-41342</w:t>
            </w:r>
          </w:p>
        </w:tc>
        <w:tc>
          <w:tcPr>
            <w:tcW w:w="4440" w:type="dxa"/>
            <w:vAlign w:val="bottom"/>
            <w:tcBorders>
              <w:top w:val="single" w:sz="8" w:color="auto"/>
              <w:bottom w:val="single" w:sz="8" w:color="00000A"/>
              <w:right w:val="single" w:sz="8" w:color="00000A"/>
            </w:tcBorders>
          </w:tcPr>
          <w:p>
            <w:pPr>
              <w:jc w:val="right"/>
              <w:ind w:right="1629"/>
              <w:spacing w:after="0"/>
              <w:rPr>
                <w:sz w:val="20"/>
                <w:szCs w:val="20"/>
                <w:color w:val="auto"/>
              </w:rPr>
            </w:pPr>
            <w:r>
              <w:rPr>
                <w:rFonts w:ascii="Arial" w:cs="Arial" w:eastAsia="Arial" w:hAnsi="Arial"/>
                <w:sz w:val="19"/>
                <w:szCs w:val="19"/>
                <w:color w:val="auto"/>
              </w:rPr>
              <w:t>35-1544218</w:t>
            </w:r>
          </w:p>
        </w:tc>
      </w:tr>
      <w:tr>
        <w:trPr>
          <w:trHeight w:val="226"/>
        </w:trPr>
        <w:tc>
          <w:tcPr>
            <w:tcW w:w="44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(Commission File Number)</w:t>
            </w:r>
          </w:p>
        </w:tc>
        <w:tc>
          <w:tcPr>
            <w:tcW w:w="4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(IRS Employer Identification No.)</w:t>
            </w:r>
          </w:p>
        </w:tc>
      </w:tr>
    </w:tbl>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200 East Jackson Street</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P.O. Box 792</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Muncie, IN 47305-2814</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(765) 747-1500</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(Registrant's telephone number, including area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Not Applicable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Name of each exchange on which registered</w:t>
            </w:r>
          </w:p>
        </w:tc>
      </w:tr>
      <w:tr>
        <w:trPr>
          <w:trHeight w:val="16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Common Stock, $0.125 stated value per share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FRME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The Nasdaq Stock Market LLC</w:t>
            </w:r>
          </w:p>
        </w:tc>
      </w:tr>
      <w:tr>
        <w:trPr>
          <w:trHeight w:val="115"/>
        </w:trPr>
        <w:tc>
          <w:tcPr>
            <w:tcW w:w="3760" w:type="dxa"/>
            <w:vAlign w:val="bottom"/>
            <w:tcBorders>
              <w:left w:val="single" w:sz="8" w:color="auto"/>
              <w:right w:val="single" w:sz="8" w:color="auto"/>
            </w:tcBorders>
          </w:tcPr>
          <w:p>
            <w:pPr>
              <w:jc w:val="center"/>
              <w:spacing w:after="0" w:line="115" w:lineRule="exact"/>
              <w:rPr>
                <w:sz w:val="20"/>
                <w:szCs w:val="20"/>
                <w:color w:val="auto"/>
              </w:rPr>
            </w:pPr>
            <w:r>
              <w:rPr>
                <w:rFonts w:ascii="Arial" w:cs="Arial" w:eastAsia="Arial" w:hAnsi="Arial"/>
                <w:sz w:val="12"/>
                <w:szCs w:val="12"/>
                <w:color w:val="auto"/>
              </w:rPr>
              <w:t>Depositary Shares, each representing a 1/100th interest in a share</w:t>
            </w:r>
          </w:p>
        </w:tc>
        <w:tc>
          <w:tcPr>
            <w:tcW w:w="376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7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of Non-Cumulative Perpetual Preferred Stock, Series A</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FRMEP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The Nasdaq Stock Market LLC</w:t>
            </w:r>
          </w:p>
        </w:tc>
      </w:tr>
    </w:tbl>
    <w:p>
      <w:pPr>
        <w:spacing w:after="0" w:line="297" w:lineRule="exact"/>
        <w:rPr>
          <w:sz w:val="24"/>
          <w:szCs w:val="24"/>
          <w:color w:val="auto"/>
        </w:rPr>
      </w:pPr>
    </w:p>
    <w:p>
      <w:pPr>
        <w:ind w:right="220"/>
        <w:spacing w:after="0" w:line="29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22"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9"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9"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41" w:lineRule="exact"/>
        <w:rPr>
          <w:sz w:val="24"/>
          <w:szCs w:val="24"/>
          <w:color w:val="auto"/>
        </w:rPr>
      </w:pPr>
    </w:p>
    <w:p>
      <w:pPr>
        <w:ind w:right="180"/>
        <w:spacing w:after="0" w:line="29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9" w:lineRule="exact"/>
        <w:rPr>
          <w:sz w:val="24"/>
          <w:szCs w:val="24"/>
          <w:color w:val="auto"/>
        </w:rPr>
      </w:pPr>
    </w:p>
    <w:p>
      <w:pPr>
        <w:ind w:right="220"/>
        <w:spacing w:after="0" w:line="23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509270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205" w:right="31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8.01 OTHER EVENTS.</w:t>
      </w:r>
    </w:p>
    <w:p>
      <w:pPr>
        <w:spacing w:after="0" w:line="2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24, 2026, the Board of Directors of First Merchants Corporation (the "Company") approved a stock repurchase program of up to 3,125,000 shares of the Company's outstanding common stock; provided, however, that the total aggregate investment in shares repurchased under the program may not exceed $ 100,000,000. On a share basis, the amount of common stock subject to the repurchase program represents approximately 5% of the Company's outstanding shares. The stock repurchases may, at the discretion of management, be made from time to time, through solicited or unsolicited transactions in the open market, in privately negotiated transactions or pursuant to a Rule 10b5-1 plan all as effected in accordance with Rule 10b-18 under the Securities Exchange Act of 1934, as amended. The Company is not obligated to purchase any shares under the program, and the program may be discontinued at any time. The actual timing, number and share price of shares purchased under the repurchase program will be determined by the Company at its discretion and will depend upon such factors as the market price of the stock, general market and economic conditions and applicable legal requirements. This new program replaces a similar program approved in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650240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First Merchants Corporation</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(Registrant)</w:t>
      </w:r>
    </w:p>
    <w:p>
      <w:pPr>
        <w:spacing w:after="0" w:line="281"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Michele M. Kawiecki</w:t>
      </w:r>
    </w:p>
    <w:p>
      <w:pPr>
        <w:spacing w:after="0" w:line="15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Michele M. Kawiecki</w:t>
      </w:r>
    </w:p>
    <w:p>
      <w:pPr>
        <w:spacing w:after="0" w:line="200"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Executive Vice President, Chief Financial Officer</w:t>
      </w:r>
    </w:p>
    <w:p>
      <w:pPr>
        <w:ind w:left="6600"/>
        <w:spacing w:after="0"/>
        <w:rPr>
          <w:sz w:val="20"/>
          <w:szCs w:val="20"/>
          <w:color w:val="auto"/>
        </w:rPr>
      </w:pPr>
      <w:r>
        <w:rPr>
          <w:rFonts w:ascii="Arial" w:cs="Arial" w:eastAsia="Arial" w:hAnsi="Arial"/>
          <w:sz w:val="17"/>
          <w:szCs w:val="17"/>
          <w:color w:val="auto"/>
        </w:rPr>
        <w:t>(Principal Financial and Accounting Officer)</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Dated: June 24, 2026</w:t>
      </w:r>
    </w:p>
    <w:sectPr>
      <w:pgSz w:w="11900" w:h="16838" w:orient="portrait"/>
      <w:cols w:equalWidth="0" w:num="1">
        <w:col w:w="11220"/>
      </w:cols>
      <w:pgMar w:left="320" w:top="11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2026-06-24T15:27:18Z</dcterms:created>
  <dcterms:modified xsi:type="dcterms:W3CDTF">2026-06-24T15:27:18Z</dcterms:modified>
</cp:coreProperties>
</file>