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CURRENT REPORT</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PURSUANT TO SECTION 13 OR 15(d)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SECURITIES EXCHANGE ACT OF 1934</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DATE OF REPORT (Date of earliest event reported): May 19, 2026</w:t>
      </w:r>
    </w:p>
    <w:p>
      <w:pPr>
        <w:spacing w:after="0" w:line="37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FIRST MERCHANTS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26035</wp:posOffset>
            </wp:positionV>
            <wp:extent cx="5634990" cy="34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4990" cy="340360"/>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Indiana</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(State or other jurisdiction of incorporation)</w:t>
      </w:r>
    </w:p>
    <w:p>
      <w:pPr>
        <w:spacing w:after="0" w:line="49" w:lineRule="exact"/>
        <w:rPr>
          <w:sz w:val="24"/>
          <w:szCs w:val="24"/>
          <w:color w:val="auto"/>
        </w:rPr>
      </w:pPr>
    </w:p>
    <w:tbl>
      <w:tblPr>
        <w:tblLayout w:type="fixed"/>
        <w:tblInd w:w="1210" w:type="dxa"/>
        <w:tblCellMar>
          <w:top w:w="0" w:type="dxa"/>
          <w:left w:w="0" w:type="dxa"/>
          <w:bottom w:w="0" w:type="dxa"/>
          <w:right w:w="0" w:type="dxa"/>
        </w:tblCellMar>
      </w:tblPr>
      <w:tr>
        <w:trPr>
          <w:trHeight w:val="261"/>
        </w:trPr>
        <w:tc>
          <w:tcPr>
            <w:tcW w:w="4440" w:type="dxa"/>
            <w:vAlign w:val="bottom"/>
            <w:tcBorders>
              <w:top w:val="single" w:sz="8" w:color="auto"/>
              <w:left w:val="single" w:sz="8" w:color="00000A"/>
              <w:bottom w:val="single" w:sz="8" w:color="00000A"/>
              <w:right w:val="single" w:sz="8" w:color="00000A"/>
            </w:tcBorders>
          </w:tcPr>
          <w:p>
            <w:pPr>
              <w:jc w:val="right"/>
              <w:ind w:right="1669"/>
              <w:spacing w:after="0"/>
              <w:rPr>
                <w:sz w:val="20"/>
                <w:szCs w:val="20"/>
                <w:color w:val="auto"/>
              </w:rPr>
            </w:pPr>
            <w:r>
              <w:rPr>
                <w:rFonts w:ascii="Arial" w:cs="Arial" w:eastAsia="Arial" w:hAnsi="Arial"/>
                <w:sz w:val="19"/>
                <w:szCs w:val="19"/>
                <w:color w:val="auto"/>
              </w:rPr>
              <w:t>001-41342</w:t>
            </w:r>
          </w:p>
        </w:tc>
        <w:tc>
          <w:tcPr>
            <w:tcW w:w="4440" w:type="dxa"/>
            <w:vAlign w:val="bottom"/>
            <w:tcBorders>
              <w:top w:val="single" w:sz="8" w:color="auto"/>
              <w:bottom w:val="single" w:sz="8" w:color="00000A"/>
              <w:right w:val="single" w:sz="8" w:color="00000A"/>
            </w:tcBorders>
          </w:tcPr>
          <w:p>
            <w:pPr>
              <w:jc w:val="right"/>
              <w:ind w:right="1629"/>
              <w:spacing w:after="0"/>
              <w:rPr>
                <w:sz w:val="20"/>
                <w:szCs w:val="20"/>
                <w:color w:val="auto"/>
              </w:rPr>
            </w:pPr>
            <w:r>
              <w:rPr>
                <w:rFonts w:ascii="Arial" w:cs="Arial" w:eastAsia="Arial" w:hAnsi="Arial"/>
                <w:sz w:val="19"/>
                <w:szCs w:val="19"/>
                <w:color w:val="auto"/>
              </w:rPr>
              <w:t>35-1544218</w:t>
            </w:r>
          </w:p>
        </w:tc>
      </w:tr>
      <w:tr>
        <w:trPr>
          <w:trHeight w:val="226"/>
        </w:trPr>
        <w:tc>
          <w:tcPr>
            <w:tcW w:w="44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(Commission File Number)</w:t>
            </w:r>
          </w:p>
        </w:tc>
        <w:tc>
          <w:tcPr>
            <w:tcW w:w="44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7"/>
                <w:szCs w:val="17"/>
                <w:color w:val="auto"/>
              </w:rPr>
              <w:t>(IRS Employer Identification No.)</w:t>
            </w:r>
          </w:p>
        </w:tc>
      </w:tr>
    </w:tbl>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200 East Jackson Street</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P.O. Box 792</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Muncie, IN 47305-2814</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(765) 747-1500</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Not Applicable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Name of each exchange on which registered</w:t>
            </w:r>
          </w:p>
        </w:tc>
      </w:tr>
      <w:tr>
        <w:trPr>
          <w:trHeight w:val="16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Common Stock, $0.125 stated value per share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FRME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The Nasdaq Stock Market LLC</w:t>
            </w:r>
          </w:p>
        </w:tc>
      </w:tr>
      <w:tr>
        <w:trPr>
          <w:trHeight w:val="115"/>
        </w:trPr>
        <w:tc>
          <w:tcPr>
            <w:tcW w:w="3760" w:type="dxa"/>
            <w:vAlign w:val="bottom"/>
            <w:tcBorders>
              <w:left w:val="single" w:sz="8" w:color="auto"/>
              <w:right w:val="single" w:sz="8" w:color="auto"/>
            </w:tcBorders>
          </w:tcPr>
          <w:p>
            <w:pPr>
              <w:jc w:val="center"/>
              <w:spacing w:after="0" w:line="115" w:lineRule="exact"/>
              <w:rPr>
                <w:sz w:val="20"/>
                <w:szCs w:val="20"/>
                <w:color w:val="auto"/>
              </w:rPr>
            </w:pPr>
            <w:r>
              <w:rPr>
                <w:rFonts w:ascii="Arial" w:cs="Arial" w:eastAsia="Arial" w:hAnsi="Arial"/>
                <w:sz w:val="12"/>
                <w:szCs w:val="12"/>
                <w:color w:val="auto"/>
              </w:rPr>
              <w:t>Depositary Shares, each representing a 1/100th interest in a share</w:t>
            </w:r>
          </w:p>
        </w:tc>
        <w:tc>
          <w:tcPr>
            <w:tcW w:w="3760" w:type="dxa"/>
            <w:vAlign w:val="bottom"/>
            <w:tcBorders>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r>
      <w:tr>
        <w:trPr>
          <w:trHeight w:val="17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of Non-Cumulative Perpetual Preferred Stock, Series A</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FRMEP</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The Nasdaq Stock Market LLC</w:t>
            </w:r>
          </w:p>
        </w:tc>
      </w:tr>
    </w:tbl>
    <w:p>
      <w:pPr>
        <w:spacing w:after="0" w:line="297" w:lineRule="exact"/>
        <w:rPr>
          <w:sz w:val="24"/>
          <w:szCs w:val="24"/>
          <w:color w:val="auto"/>
        </w:rPr>
      </w:pPr>
    </w:p>
    <w:p>
      <w:pPr>
        <w:ind w:right="220"/>
        <w:spacing w:after="0" w:line="29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22"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09"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MS PGothic" w:cs="MS PGothic" w:eastAsia="MS PGothic" w:hAnsi="MS PGothic"/>
          <w:sz w:val="17"/>
          <w:szCs w:val="17"/>
          <w:color w:val="auto"/>
        </w:rPr>
      </w:pPr>
    </w:p>
    <w:p>
      <w:pPr>
        <w:ind w:left="200" w:hanging="195"/>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41" w:lineRule="exact"/>
        <w:rPr>
          <w:sz w:val="24"/>
          <w:szCs w:val="24"/>
          <w:color w:val="auto"/>
        </w:rPr>
      </w:pPr>
    </w:p>
    <w:p>
      <w:pPr>
        <w:ind w:right="180"/>
        <w:spacing w:after="0" w:line="29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9" w:lineRule="exact"/>
        <w:rPr>
          <w:sz w:val="24"/>
          <w:szCs w:val="24"/>
          <w:color w:val="auto"/>
        </w:rPr>
      </w:pPr>
    </w:p>
    <w:p>
      <w:pPr>
        <w:ind w:right="220"/>
        <w:spacing w:after="0" w:line="23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509270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205" w:right="3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5.07 SUBMISSION OF MATTERS TO A VOTE OF SECURITY HOLDERS.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On May 19, 2026 the Corporation held its Annual Meeting of Shareholders.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Susan W. Brooks, Mung Chiang, Michael J. Fisher, F. Howard Halderman, Kevin D. Johnson, Clark C. Kellogg, Larry W. Myers, Michael C.</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Rechin and Jean L. Wojtowicz were elected to the Board of Directors for one-year terms expiring at the 2027 annual meeting of shareholders.</w:t>
      </w:r>
    </w:p>
    <w:p>
      <w:pPr>
        <w:spacing w:after="0" w:line="233" w:lineRule="exact"/>
        <w:rPr>
          <w:sz w:val="20"/>
          <w:szCs w:val="20"/>
          <w:color w:val="auto"/>
        </w:rPr>
      </w:pPr>
    </w:p>
    <w:p>
      <w:pPr>
        <w:ind w:right="940"/>
        <w:spacing w:after="0" w:line="298" w:lineRule="auto"/>
        <w:rPr>
          <w:sz w:val="20"/>
          <w:szCs w:val="20"/>
          <w:color w:val="auto"/>
        </w:rPr>
      </w:pPr>
      <w:r>
        <w:rPr>
          <w:rFonts w:ascii="Arial" w:cs="Arial" w:eastAsia="Arial" w:hAnsi="Arial"/>
          <w:sz w:val="17"/>
          <w:szCs w:val="17"/>
          <w:color w:val="auto"/>
        </w:rPr>
        <w:t>The shareholders adopted a non-binding resolution approving the compensation of the Corporation’s executive officers, as well as the appointment of Forvis Mazars, LLP as the Corporation’s independent registered public accounting firm for 2026.</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votes on these matters were as follows: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1. Election of Directors:</w:t>
      </w:r>
    </w:p>
    <w:p>
      <w:pPr>
        <w:spacing w:after="0" w:line="128" w:lineRule="exact"/>
        <w:rPr>
          <w:sz w:val="20"/>
          <w:szCs w:val="20"/>
          <w:color w:val="auto"/>
        </w:rPr>
      </w:pPr>
    </w:p>
    <w:tbl>
      <w:tblPr>
        <w:tblLayout w:type="fixed"/>
        <w:tblInd w:w="830" w:type="dxa"/>
        <w:tblCellMar>
          <w:top w:w="0" w:type="dxa"/>
          <w:left w:w="0" w:type="dxa"/>
          <w:bottom w:w="0" w:type="dxa"/>
          <w:right w:w="0" w:type="dxa"/>
        </w:tblCellMar>
      </w:tblPr>
      <w:tr>
        <w:trPr>
          <w:trHeight w:val="221"/>
        </w:trPr>
        <w:tc>
          <w:tcPr>
            <w:tcW w:w="22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FOR</w:t>
            </w:r>
          </w:p>
        </w:tc>
        <w:tc>
          <w:tcPr>
            <w:tcW w:w="238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6"/>
                <w:szCs w:val="16"/>
                <w:color w:val="auto"/>
              </w:rPr>
              <w:t>WITHHELD</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BROKER NON-VOTES</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Susan W. Brooks</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36,808,839</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8,871,514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Mung Chiang</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45,319,704</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360,649</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Michael J. Fisher</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41,782,037</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3,898,316</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 Howard Halderman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37,409,002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8,271,351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Kevin D. Johnson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44,733,846</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946,507</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Clark C. Kellogg</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41,703,479</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3,976,874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Larry W. Myers</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44,620,975</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1,059,378</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Michael C. Rechin</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40,942,318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4,738,035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r>
        <w:trPr>
          <w:trHeight w:val="202"/>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Jean L. Wojtowicz</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40,482,972</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5,197,381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7,385,262</w:t>
            </w:r>
          </w:p>
        </w:tc>
      </w:tr>
    </w:tbl>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7720" w:type="dxa"/>
            <w:vAlign w:val="bottom"/>
            <w:gridSpan w:val="4"/>
          </w:tcPr>
          <w:p>
            <w:pPr>
              <w:ind w:left="20"/>
              <w:spacing w:after="0"/>
              <w:rPr>
                <w:sz w:val="20"/>
                <w:szCs w:val="20"/>
                <w:color w:val="auto"/>
              </w:rPr>
            </w:pPr>
            <w:r>
              <w:rPr>
                <w:rFonts w:ascii="Arial" w:cs="Arial" w:eastAsia="Arial" w:hAnsi="Arial"/>
                <w:sz w:val="17"/>
                <w:szCs w:val="17"/>
                <w:color w:val="auto"/>
              </w:rPr>
              <w:t>Approval, on an advisory basis, of the compensation of Corporation’s named executive officers:</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14"/>
        </w:trPr>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3340" w:type="dxa"/>
            <w:vAlign w:val="bottom"/>
            <w:gridSpan w:val="2"/>
          </w:tcPr>
          <w:p>
            <w:pPr>
              <w:spacing w:after="0"/>
              <w:rPr>
                <w:sz w:val="9"/>
                <w:szCs w:val="9"/>
                <w:color w:val="auto"/>
              </w:rPr>
            </w:pPr>
          </w:p>
        </w:tc>
      </w:tr>
      <w:tr>
        <w:trPr>
          <w:trHeight w:val="201"/>
        </w:trPr>
        <w:tc>
          <w:tcPr>
            <w:tcW w:w="1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FOR</w:t>
            </w:r>
          </w:p>
        </w:tc>
        <w:tc>
          <w:tcPr>
            <w:tcW w:w="23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AGAINST</w:t>
            </w:r>
          </w:p>
        </w:tc>
        <w:tc>
          <w:tcPr>
            <w:tcW w:w="238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ABSTAIN</w:t>
            </w:r>
          </w:p>
        </w:tc>
        <w:tc>
          <w:tcPr>
            <w:tcW w:w="25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BROKER NON-VOTES</w:t>
            </w:r>
          </w:p>
        </w:tc>
        <w:tc>
          <w:tcPr>
            <w:tcW w:w="78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43,084,564</w:t>
            </w:r>
          </w:p>
        </w:tc>
        <w:tc>
          <w:tcPr>
            <w:tcW w:w="236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2,221,954</w:t>
            </w:r>
          </w:p>
        </w:tc>
        <w:tc>
          <w:tcPr>
            <w:tcW w:w="2380" w:type="dxa"/>
            <w:vAlign w:val="bottom"/>
            <w:tcBorders>
              <w:bottom w:val="single" w:sz="8" w:color="auto"/>
              <w:right w:val="single" w:sz="8" w:color="auto"/>
            </w:tcBorders>
          </w:tcPr>
          <w:p>
            <w:pPr>
              <w:jc w:val="right"/>
              <w:ind w:right="842"/>
              <w:spacing w:after="0"/>
              <w:rPr>
                <w:sz w:val="20"/>
                <w:szCs w:val="20"/>
                <w:color w:val="auto"/>
              </w:rPr>
            </w:pPr>
            <w:r>
              <w:rPr>
                <w:rFonts w:ascii="Arial" w:cs="Arial" w:eastAsia="Arial" w:hAnsi="Arial"/>
                <w:sz w:val="16"/>
                <w:szCs w:val="16"/>
                <w:color w:val="auto"/>
              </w:rPr>
              <w:t>373,835</w:t>
            </w:r>
          </w:p>
        </w:tc>
        <w:tc>
          <w:tcPr>
            <w:tcW w:w="2560" w:type="dxa"/>
            <w:vAlign w:val="bottom"/>
            <w:tcBorders>
              <w:bottom w:val="single" w:sz="8" w:color="auto"/>
              <w:right w:val="single" w:sz="8" w:color="auto"/>
            </w:tcBorders>
          </w:tcPr>
          <w:p>
            <w:pPr>
              <w:jc w:val="right"/>
              <w:ind w:right="882"/>
              <w:spacing w:after="0"/>
              <w:rPr>
                <w:sz w:val="20"/>
                <w:szCs w:val="20"/>
                <w:color w:val="auto"/>
              </w:rPr>
            </w:pPr>
            <w:r>
              <w:rPr>
                <w:rFonts w:ascii="Arial" w:cs="Arial" w:eastAsia="Arial" w:hAnsi="Arial"/>
                <w:sz w:val="16"/>
                <w:szCs w:val="16"/>
                <w:color w:val="auto"/>
              </w:rPr>
              <w:t>7,385,262</w:t>
            </w:r>
          </w:p>
        </w:tc>
        <w:tc>
          <w:tcPr>
            <w:tcW w:w="780" w:type="dxa"/>
            <w:vAlign w:val="bottom"/>
          </w:tcPr>
          <w:p>
            <w:pPr>
              <w:spacing w:after="0"/>
              <w:rPr>
                <w:sz w:val="17"/>
                <w:szCs w:val="17"/>
                <w:color w:val="auto"/>
              </w:rPr>
            </w:pPr>
          </w:p>
        </w:tc>
      </w:tr>
      <w:tr>
        <w:trPr>
          <w:trHeight w:val="704"/>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5340" w:type="dxa"/>
            <w:vAlign w:val="bottom"/>
            <w:gridSpan w:val="3"/>
          </w:tcPr>
          <w:p>
            <w:pPr>
              <w:ind w:left="20"/>
              <w:spacing w:after="0"/>
              <w:rPr>
                <w:sz w:val="20"/>
                <w:szCs w:val="20"/>
                <w:color w:val="auto"/>
              </w:rPr>
            </w:pPr>
            <w:r>
              <w:rPr>
                <w:rFonts w:ascii="Arial" w:cs="Arial" w:eastAsia="Arial" w:hAnsi="Arial"/>
                <w:sz w:val="17"/>
                <w:szCs w:val="17"/>
                <w:color w:val="auto"/>
              </w:rPr>
              <w:t>Approval of Forvis Mazars, LLP as independent auditor for 2026:</w:t>
            </w:r>
          </w:p>
        </w:tc>
        <w:tc>
          <w:tcPr>
            <w:tcW w:w="2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01"/>
        </w:trPr>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3340" w:type="dxa"/>
            <w:vAlign w:val="bottom"/>
            <w:gridSpan w:val="2"/>
          </w:tcPr>
          <w:p>
            <w:pPr>
              <w:spacing w:after="0"/>
              <w:rPr>
                <w:sz w:val="8"/>
                <w:szCs w:val="8"/>
                <w:color w:val="auto"/>
              </w:rPr>
            </w:pPr>
          </w:p>
        </w:tc>
      </w:tr>
      <w:tr>
        <w:trPr>
          <w:trHeight w:val="201"/>
        </w:trPr>
        <w:tc>
          <w:tcPr>
            <w:tcW w:w="1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FOR</w:t>
            </w:r>
          </w:p>
        </w:tc>
        <w:tc>
          <w:tcPr>
            <w:tcW w:w="23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AGAINST</w:t>
            </w:r>
          </w:p>
        </w:tc>
        <w:tc>
          <w:tcPr>
            <w:tcW w:w="238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6"/>
                <w:szCs w:val="16"/>
                <w:color w:val="auto"/>
              </w:rPr>
              <w:t>ABSTAIN</w:t>
            </w:r>
          </w:p>
        </w:tc>
        <w:tc>
          <w:tcPr>
            <w:tcW w:w="256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BROKER NON-VOTES</w:t>
            </w:r>
          </w:p>
        </w:tc>
        <w:tc>
          <w:tcPr>
            <w:tcW w:w="78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51,146,053</w:t>
            </w:r>
          </w:p>
        </w:tc>
        <w:tc>
          <w:tcPr>
            <w:tcW w:w="236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6"/>
                <w:szCs w:val="16"/>
                <w:color w:val="auto"/>
              </w:rPr>
              <w:t>1,842,114</w:t>
            </w:r>
          </w:p>
        </w:tc>
        <w:tc>
          <w:tcPr>
            <w:tcW w:w="2380" w:type="dxa"/>
            <w:vAlign w:val="bottom"/>
            <w:tcBorders>
              <w:bottom w:val="single" w:sz="8" w:color="auto"/>
              <w:right w:val="single" w:sz="8" w:color="auto"/>
            </w:tcBorders>
          </w:tcPr>
          <w:p>
            <w:pPr>
              <w:jc w:val="right"/>
              <w:ind w:right="902"/>
              <w:spacing w:after="0"/>
              <w:rPr>
                <w:sz w:val="20"/>
                <w:szCs w:val="20"/>
                <w:color w:val="auto"/>
              </w:rPr>
            </w:pPr>
            <w:r>
              <w:rPr>
                <w:rFonts w:ascii="Arial" w:cs="Arial" w:eastAsia="Arial" w:hAnsi="Arial"/>
                <w:sz w:val="16"/>
                <w:szCs w:val="16"/>
                <w:color w:val="auto"/>
              </w:rPr>
              <w:t>77,448</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tcPr>
          <w:p>
            <w:pPr>
              <w:spacing w:after="0"/>
              <w:rPr>
                <w:sz w:val="17"/>
                <w:szCs w:val="17"/>
                <w:color w:val="auto"/>
              </w:rPr>
            </w:pPr>
          </w:p>
        </w:tc>
      </w:tr>
      <w:tr>
        <w:trPr>
          <w:trHeight w:val="941"/>
        </w:trPr>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firstLine="627"/>
        <w:spacing w:after="0" w:line="29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First Merchants Corporation</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(Registrant)</w:t>
      </w:r>
    </w:p>
    <w:p>
      <w:pPr>
        <w:spacing w:after="0" w:line="281"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Michele M. Kawiecki</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Michele M. Kawiecki</w:t>
      </w:r>
    </w:p>
    <w:p>
      <w:pPr>
        <w:spacing w:after="0" w:line="200"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Executive Vice President, Chief Financial Officer</w:t>
      </w:r>
    </w:p>
    <w:p>
      <w:pPr>
        <w:ind w:left="6600"/>
        <w:spacing w:after="0"/>
        <w:rPr>
          <w:sz w:val="20"/>
          <w:szCs w:val="20"/>
          <w:color w:val="auto"/>
        </w:rPr>
      </w:pPr>
      <w:r>
        <w:rPr>
          <w:rFonts w:ascii="Arial" w:cs="Arial" w:eastAsia="Arial" w:hAnsi="Arial"/>
          <w:sz w:val="17"/>
          <w:szCs w:val="17"/>
          <w:color w:val="auto"/>
        </w:rPr>
        <w:t>(Principal Financial and Accounting Officer)</w:t>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Dated: May 20, 2026</w:t>
      </w:r>
    </w:p>
    <w:sectPr>
      <w:pgSz w:w="11900" w:h="16838" w:orient="portrait"/>
      <w:cols w:equalWidth="0" w:num="1">
        <w:col w:w="11220"/>
      </w:cols>
      <w:pgMar w:left="320" w:top="110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2026-05-20T15:45:19Z</dcterms:created>
  <dcterms:modified xsi:type="dcterms:W3CDTF">2026-05-20T15:45:19Z</dcterms:modified>
</cp:coreProperties>
</file>