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May 19, 2026</w:t>
      </w: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MERCHANTS CORPORATION</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664845</wp:posOffset>
            </wp:positionH>
            <wp:positionV relativeFrom="paragraph">
              <wp:posOffset>23495</wp:posOffset>
            </wp:positionV>
            <wp:extent cx="582041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3517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Indiana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47" w:lineRule="exact"/>
        <w:rPr>
          <w:sz w:val="24"/>
          <w:szCs w:val="24"/>
          <w:color w:val="auto"/>
        </w:rPr>
      </w:pPr>
    </w:p>
    <w:tbl>
      <w:tblPr>
        <w:tblLayout w:type="fixed"/>
        <w:tblInd w:w="1050" w:type="dxa"/>
        <w:tblCellMar>
          <w:top w:w="0" w:type="dxa"/>
          <w:left w:w="0" w:type="dxa"/>
          <w:bottom w:w="0" w:type="dxa"/>
          <w:right w:w="0" w:type="dxa"/>
        </w:tblCellMar>
      </w:tblPr>
      <w:tr>
        <w:trPr>
          <w:trHeight w:val="270"/>
        </w:trPr>
        <w:tc>
          <w:tcPr>
            <w:tcW w:w="4600" w:type="dxa"/>
            <w:vAlign w:val="bottom"/>
            <w:tcBorders>
              <w:top w:val="single" w:sz="8" w:color="auto"/>
              <w:left w:val="single" w:sz="8" w:color="00000A"/>
              <w:bottom w:val="single" w:sz="8" w:color="00000A"/>
              <w:right w:val="single" w:sz="8" w:color="00000A"/>
            </w:tcBorders>
          </w:tcPr>
          <w:p>
            <w:pPr>
              <w:jc w:val="right"/>
              <w:ind w:right="1726"/>
              <w:spacing w:after="0"/>
              <w:rPr>
                <w:sz w:val="20"/>
                <w:szCs w:val="20"/>
                <w:color w:val="auto"/>
              </w:rPr>
            </w:pPr>
            <w:r>
              <w:rPr>
                <w:rFonts w:ascii="Arial" w:cs="Arial" w:eastAsia="Arial" w:hAnsi="Arial"/>
                <w:sz w:val="20"/>
                <w:szCs w:val="20"/>
                <w:color w:val="auto"/>
              </w:rPr>
              <w:t>001-41342</w:t>
            </w:r>
          </w:p>
        </w:tc>
        <w:tc>
          <w:tcPr>
            <w:tcW w:w="4580" w:type="dxa"/>
            <w:vAlign w:val="bottom"/>
            <w:tcBorders>
              <w:top w:val="single" w:sz="8" w:color="auto"/>
              <w:bottom w:val="single" w:sz="8" w:color="00000A"/>
              <w:right w:val="single" w:sz="8" w:color="00000A"/>
            </w:tcBorders>
          </w:tcPr>
          <w:p>
            <w:pPr>
              <w:jc w:val="right"/>
              <w:ind w:right="1686"/>
              <w:spacing w:after="0"/>
              <w:rPr>
                <w:sz w:val="20"/>
                <w:szCs w:val="20"/>
                <w:color w:val="auto"/>
              </w:rPr>
            </w:pPr>
            <w:r>
              <w:rPr>
                <w:rFonts w:ascii="Arial" w:cs="Arial" w:eastAsia="Arial" w:hAnsi="Arial"/>
                <w:sz w:val="20"/>
                <w:szCs w:val="20"/>
                <w:color w:val="auto"/>
              </w:rPr>
              <w:t>35-1544218</w:t>
            </w:r>
          </w:p>
        </w:tc>
      </w:tr>
      <w:tr>
        <w:trPr>
          <w:trHeight w:val="234"/>
        </w:trPr>
        <w:tc>
          <w:tcPr>
            <w:tcW w:w="4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(Commission File Number)</w:t>
            </w:r>
          </w:p>
        </w:tc>
        <w:tc>
          <w:tcPr>
            <w:tcW w:w="4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 East Jackson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P.O. Box 792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Muncie, IN 47305-2814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(765) 747-1500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16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Common Stock, $0.125 stated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FRME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r>
        <w:trPr>
          <w:trHeight w:val="120"/>
        </w:trPr>
        <w:tc>
          <w:tcPr>
            <w:tcW w:w="3760" w:type="dxa"/>
            <w:vAlign w:val="bottom"/>
            <w:tcBorders>
              <w:left w:val="single" w:sz="8" w:color="auto"/>
              <w:right w:val="single" w:sz="8" w:color="auto"/>
            </w:tcBorders>
          </w:tcPr>
          <w:p>
            <w:pPr>
              <w:jc w:val="center"/>
              <w:spacing w:after="0" w:line="120" w:lineRule="exact"/>
              <w:rPr>
                <w:sz w:val="20"/>
                <w:szCs w:val="20"/>
                <w:color w:val="auto"/>
              </w:rPr>
            </w:pPr>
            <w:r>
              <w:rPr>
                <w:rFonts w:ascii="Arial" w:cs="Arial" w:eastAsia="Arial" w:hAnsi="Arial"/>
                <w:sz w:val="13"/>
                <w:szCs w:val="13"/>
                <w:color w:val="auto"/>
                <w:w w:val="96"/>
              </w:rPr>
              <w:t>Depositary Shares, each representing a 1/100th interest in a</w:t>
            </w: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8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share of Non-Cumulative Perpetual Preferred Stock, Series 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FRMEP</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bl>
    <w:p>
      <w:pPr>
        <w:spacing w:after="0" w:line="305"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36"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53"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ind w:right="2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2"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8"/>
          <w:szCs w:val="18"/>
          <w:color w:val="auto"/>
        </w:rPr>
        <w:t>On May 19, 2026, First Merchants Corporation issued a press release announcing the declaration of a cash dividend of $0.37 per common share. The cash dividend is payable on June 19, 2026 to common stockholders of record as of June 5, 2026. A copy of the press release is furnished as Exhibit 99.1 to this Current Report on Form 8-K.</w:t>
      </w:r>
    </w:p>
    <w:p>
      <w:pPr>
        <w:spacing w:after="0" w:line="198"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8"/>
          <w:szCs w:val="18"/>
          <w:color w:val="auto"/>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Borders>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Exhibit 99.1</w:t>
            </w:r>
          </w:p>
        </w:tc>
        <w:tc>
          <w:tcPr>
            <w:tcW w:w="594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9"/>
              </w:rPr>
              <w:t>Press Release dated May 19, 2026 issued by First Merchants Corporation.</w:t>
            </w:r>
          </w:p>
        </w:tc>
        <w:tc>
          <w:tcPr>
            <w:tcW w:w="2400" w:type="dxa"/>
            <w:vAlign w:val="bottom"/>
            <w:tcBorders>
              <w:top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520" w:type="dxa"/>
            <w:vAlign w:val="bottom"/>
            <w:tcBorders>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Exhibit 104</w:t>
            </w:r>
          </w:p>
        </w:tc>
        <w:tc>
          <w:tcPr>
            <w:tcW w:w="8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460" w:type="dxa"/>
            <w:vAlign w:val="bottom"/>
          </w:tcPr>
          <w:p>
            <w:pPr>
              <w:spacing w:after="0"/>
              <w:rPr>
                <w:sz w:val="19"/>
                <w:szCs w:val="19"/>
                <w:color w:val="auto"/>
              </w:rPr>
            </w:pPr>
          </w:p>
        </w:tc>
      </w:tr>
      <w:tr>
        <w:trPr>
          <w:trHeight w:val="1215"/>
        </w:trPr>
        <w:tc>
          <w:tcPr>
            <w:tcW w:w="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First Merchants Corporation</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Michele M. Kawiecki</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Michele M. Kawiecki</w:t>
      </w:r>
    </w:p>
    <w:p>
      <w:pPr>
        <w:spacing w:after="0" w:line="19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Chief Financial Officer</w:t>
      </w:r>
    </w:p>
    <w:p>
      <w:pP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May 19, 2026</w:t>
      </w:r>
    </w:p>
    <w:p>
      <w:pPr>
        <w:sectPr>
          <w:pgSz w:w="11900" w:h="16838" w:orient="portrait"/>
          <w:cols w:equalWidth="0" w:num="1">
            <w:col w:w="11060"/>
          </w:cols>
          <w:pgMar w:left="320" w:top="1133" w:right="519" w:bottom="1440" w:gutter="0" w:footer="0" w:header="0"/>
        </w:sectPr>
      </w:pPr>
    </w:p>
    <w:bookmarkStart w:id="3" w:name="page4"/>
    <w:bookmarkEnd w:id="3"/>
    <w:p>
      <w:pPr>
        <w:ind w:left="40"/>
        <w:spacing w:after="0"/>
        <w:rPr>
          <w:sz w:val="20"/>
          <w:szCs w:val="20"/>
          <w:color w:val="auto"/>
        </w:rPr>
      </w:pPr>
      <w:r>
        <w:rPr>
          <w:rFonts w:ascii="Arial" w:cs="Arial" w:eastAsia="Arial" w:hAnsi="Arial"/>
          <w:sz w:val="25"/>
          <w:szCs w:val="25"/>
          <w:b w:val="1"/>
          <w:bCs w:val="1"/>
          <w:color w:val="auto"/>
        </w:rPr>
        <w:t>N / E / W / S R / E / L / E / A / S / 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May 19, 2026</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16" w:lineRule="exact"/>
        <w:rPr>
          <w:sz w:val="20"/>
          <w:szCs w:val="20"/>
          <w:color w:val="auto"/>
        </w:rPr>
      </w:pPr>
    </w:p>
    <w:p>
      <w:pPr>
        <w:ind w:right="4260"/>
        <w:spacing w:after="0" w:line="246" w:lineRule="auto"/>
        <w:rPr>
          <w:sz w:val="20"/>
          <w:szCs w:val="20"/>
          <w:color w:val="auto"/>
        </w:rPr>
      </w:pPr>
      <w:r>
        <w:rPr>
          <w:rFonts w:ascii="Arial" w:cs="Arial" w:eastAsia="Arial" w:hAnsi="Arial"/>
          <w:sz w:val="20"/>
          <w:szCs w:val="20"/>
          <w:color w:val="auto"/>
        </w:rPr>
        <w:t>Nicole M. Weaver, First Vice President and Director of Corporate Administration 765-521-7619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0000FF"/>
        </w:rPr>
        <w:t>http://www.firstmerchants.com</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SOURCE: First Merchants Corporation (NASDAQ: FRME), Muncie, Indiana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MERCHANTS CORPORATION ANNOUNCES CASH DIVIDEND</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First Merchants Corporation declared a cash dividend on May 19, 2026 of $0.37 per common share. The dividend is payable on June 19, 2026 to common shareholders of record as of June 5,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First Merchants Corporation: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First Merchants Corporation’s common stock is traded on the NASDAQ Global Select Market System under the symbol FRME. Quotations are carried in daily newspapers and can be found on the company’s Internet web page (</w:t>
      </w:r>
      <w:r>
        <w:rPr>
          <w:rFonts w:ascii="Arial" w:cs="Arial" w:eastAsia="Arial" w:hAnsi="Arial"/>
          <w:sz w:val="18"/>
          <w:szCs w:val="18"/>
          <w:u w:val="single" w:color="auto"/>
          <w:color w:val="0563C1"/>
        </w:rPr>
        <w:t>http://www.firstmerchants.com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FIRST MERCHANTS and the Shield Logo are federally registered trademarks of First Merchants 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2026-05-19T13:50:12Z</dcterms:created>
  <dcterms:modified xsi:type="dcterms:W3CDTF">2026-05-19T13:50:12Z</dcterms:modified>
</cp:coreProperties>
</file>